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EB433" w14:textId="77777777" w:rsidR="00F808A1" w:rsidRPr="00F808A1" w:rsidRDefault="00F808A1" w:rsidP="00F808A1">
      <w:pPr>
        <w:ind w:left="360"/>
        <w:jc w:val="center"/>
        <w:rPr>
          <w:b/>
          <w:bCs/>
          <w:sz w:val="28"/>
          <w:szCs w:val="28"/>
        </w:rPr>
      </w:pPr>
      <w:r w:rsidRPr="00F808A1">
        <w:rPr>
          <w:b/>
          <w:bCs/>
          <w:sz w:val="28"/>
          <w:szCs w:val="28"/>
        </w:rPr>
        <w:t>Тестирование на знание русского языка</w:t>
      </w:r>
    </w:p>
    <w:p w14:paraId="11FCBFEB" w14:textId="77777777" w:rsidR="00F808A1" w:rsidRDefault="00F808A1" w:rsidP="00F808A1">
      <w:pPr>
        <w:ind w:left="-993"/>
        <w:rPr>
          <w:sz w:val="28"/>
          <w:szCs w:val="28"/>
        </w:rPr>
      </w:pPr>
      <w:r w:rsidRPr="00F808A1">
        <w:rPr>
          <w:sz w:val="28"/>
          <w:szCs w:val="28"/>
        </w:rPr>
        <w:t>Пункт проведения тестирования осуществляет организацию и проведение тестирования несовершеннолетних иностранных граждан и лиц без гражданства на знание русского языка, достаточное для освоения образовательных программ начального общего, основного общего и среднего общего образования.</w:t>
      </w:r>
      <w:r w:rsidRPr="00F808A1">
        <w:rPr>
          <w:sz w:val="28"/>
          <w:szCs w:val="28"/>
        </w:rPr>
        <w:br/>
      </w:r>
      <w:r w:rsidRPr="00F808A1">
        <w:rPr>
          <w:sz w:val="28"/>
          <w:szCs w:val="28"/>
        </w:rPr>
        <w:br/>
        <w:t>Участие в тестировании принимают несовершеннолетние иностранные граждане и лица без гражданства, получившие направление на тестирование.</w:t>
      </w:r>
      <w:r w:rsidRPr="00F808A1">
        <w:rPr>
          <w:sz w:val="28"/>
          <w:szCs w:val="28"/>
        </w:rPr>
        <w:br/>
      </w:r>
      <w:r w:rsidRPr="00F808A1">
        <w:rPr>
          <w:sz w:val="28"/>
          <w:szCs w:val="28"/>
        </w:rPr>
        <w:br/>
        <w:t>Для того, чтобы получить направление на тестирование, необходимо подать заявление на приём в школу через РПГУ. Если в школе есть свободные места, то, при условии успешного прохождения проверки документов, школой выдаётся направление на прохождение тестирования.</w:t>
      </w:r>
      <w:r w:rsidRPr="00F808A1">
        <w:rPr>
          <w:sz w:val="28"/>
          <w:szCs w:val="28"/>
        </w:rPr>
        <w:br/>
      </w:r>
      <w:r w:rsidRPr="00F808A1">
        <w:rPr>
          <w:sz w:val="28"/>
          <w:szCs w:val="28"/>
        </w:rPr>
        <w:br/>
        <w:t>Для того, чтобы принять участие в тестировании, родителям (законным представителям) несовершеннолетних иностранных граждан и лиц без гражданства, получивших направление на тестирование, необходимо подать заявку на региональном портале государственных услуг Московской области: https://uslugi.mosreg.ru/ в срок не позднее 7 рабочих дней после получения направления на тестирование.</w:t>
      </w:r>
      <w:r w:rsidRPr="00F808A1">
        <w:rPr>
          <w:sz w:val="28"/>
          <w:szCs w:val="28"/>
        </w:rPr>
        <w:br/>
      </w:r>
      <w:r w:rsidRPr="00F808A1">
        <w:rPr>
          <w:sz w:val="28"/>
          <w:szCs w:val="28"/>
        </w:rPr>
        <w:br/>
        <w:t>При подаче заявки родитель (законный представитель) выбирает удобную дату для прохождения тестирования ребёнка из перечня доступных дат.</w:t>
      </w:r>
      <w:r w:rsidRPr="00F808A1">
        <w:rPr>
          <w:sz w:val="28"/>
          <w:szCs w:val="28"/>
        </w:rPr>
        <w:br/>
      </w:r>
      <w:r w:rsidRPr="00F808A1">
        <w:rPr>
          <w:sz w:val="28"/>
          <w:szCs w:val="28"/>
        </w:rPr>
        <w:br/>
        <w:t>Пункт проведения тестирования расположен по адресу: Московская область, г. Одинцово, бульвар Маршала Крылова, д. 5/1</w:t>
      </w:r>
      <w:r w:rsidRPr="00F808A1">
        <w:rPr>
          <w:sz w:val="28"/>
          <w:szCs w:val="28"/>
        </w:rPr>
        <w:br/>
      </w:r>
      <w:r w:rsidRPr="00F808A1">
        <w:rPr>
          <w:sz w:val="28"/>
          <w:szCs w:val="28"/>
        </w:rPr>
        <w:br/>
        <w:t>Принимаемые территории</w:t>
      </w:r>
      <w:r w:rsidRPr="00F808A1">
        <w:rPr>
          <w:sz w:val="28"/>
          <w:szCs w:val="28"/>
        </w:rPr>
        <w:br/>
        <w:t>1. Одинцовский городской округ</w:t>
      </w:r>
      <w:r w:rsidRPr="00F808A1">
        <w:rPr>
          <w:sz w:val="28"/>
          <w:szCs w:val="28"/>
        </w:rPr>
        <w:br/>
        <w:t>2.городской округ Власиха</w:t>
      </w:r>
      <w:r w:rsidRPr="00F808A1">
        <w:rPr>
          <w:sz w:val="28"/>
          <w:szCs w:val="28"/>
        </w:rPr>
        <w:br/>
        <w:t>3.городской округ Краснознаменск</w:t>
      </w:r>
      <w:r w:rsidRPr="00F808A1">
        <w:rPr>
          <w:sz w:val="28"/>
          <w:szCs w:val="28"/>
        </w:rPr>
        <w:br/>
      </w:r>
      <w:r w:rsidRPr="00F808A1">
        <w:rPr>
          <w:sz w:val="28"/>
          <w:szCs w:val="28"/>
        </w:rPr>
        <w:br/>
        <w:t>Территория, к которой относится участник тестирования, определяется в зависимости от школы, в которую подано заявление на его поступление.</w:t>
      </w:r>
      <w:r w:rsidRPr="00F808A1">
        <w:rPr>
          <w:sz w:val="28"/>
          <w:szCs w:val="28"/>
        </w:rPr>
        <w:br/>
      </w:r>
      <w:r w:rsidRPr="00F808A1">
        <w:rPr>
          <w:sz w:val="28"/>
          <w:szCs w:val="28"/>
        </w:rPr>
        <w:br/>
      </w:r>
      <w:r w:rsidRPr="00F808A1">
        <w:rPr>
          <w:b/>
          <w:bCs/>
          <w:sz w:val="28"/>
          <w:szCs w:val="28"/>
        </w:rPr>
        <w:t>Правила проведения тестирования</w:t>
      </w:r>
      <w:r w:rsidRPr="00F808A1">
        <w:rPr>
          <w:sz w:val="28"/>
          <w:szCs w:val="28"/>
        </w:rPr>
        <w:br/>
      </w:r>
      <w:r w:rsidRPr="00F808A1">
        <w:rPr>
          <w:sz w:val="28"/>
          <w:szCs w:val="28"/>
        </w:rPr>
        <w:br/>
        <w:t xml:space="preserve">1. Тестирование проводится в учебных кабинетах, оснащённых средствами видеозаписи и изолированных от помещений, не использующихся для проведения тестирования. В учебных кабинетах предусмотрено отдельное рабочее место для каждого участника тестирования. Для участников тестирования с ограниченными </w:t>
      </w:r>
      <w:r w:rsidRPr="00F808A1">
        <w:rPr>
          <w:sz w:val="28"/>
          <w:szCs w:val="28"/>
        </w:rPr>
        <w:lastRenderedPageBreak/>
        <w:t xml:space="preserve">возможностями здоровья предусматривается оборудование места для проведения тестирования с учётом </w:t>
      </w:r>
      <w:proofErr w:type="gramStart"/>
      <w:r w:rsidRPr="00F808A1">
        <w:rPr>
          <w:sz w:val="28"/>
          <w:szCs w:val="28"/>
        </w:rPr>
        <w:t>индивидуальных особенностей</w:t>
      </w:r>
      <w:proofErr w:type="gramEnd"/>
      <w:r w:rsidRPr="00F808A1">
        <w:rPr>
          <w:sz w:val="28"/>
          <w:szCs w:val="28"/>
        </w:rPr>
        <w:t>.</w:t>
      </w:r>
      <w:r w:rsidRPr="00F808A1">
        <w:rPr>
          <w:sz w:val="28"/>
          <w:szCs w:val="28"/>
        </w:rPr>
        <w:br/>
      </w:r>
      <w:r w:rsidRPr="00F808A1">
        <w:rPr>
          <w:sz w:val="28"/>
          <w:szCs w:val="28"/>
        </w:rPr>
        <w:br/>
        <w:t>2. Участнику тестирования необходимо явиться в тестирующую организацию за час до начала тестирования (к 13:00). Перед началом тестирования проводится инструктаж участников. В период с момента входа в место проведения тестирования и до его окончания участникам тестирования запрещается:</w:t>
      </w:r>
      <w:r w:rsidRPr="00F808A1">
        <w:rPr>
          <w:sz w:val="28"/>
          <w:szCs w:val="28"/>
        </w:rPr>
        <w:br/>
        <w:t>1) иметь при себе средства связи, электронно-вычислительную технику, умные часы, фото-, аудио- и видеоаппаратуру, справочные материалы, письменные заметки и иные средства хранения и передачи информации;</w:t>
      </w:r>
      <w:r w:rsidRPr="00F808A1">
        <w:rPr>
          <w:sz w:val="28"/>
          <w:szCs w:val="28"/>
        </w:rPr>
        <w:br/>
        <w:t>2) выносить из аудиторий и мест проведения тестирования комплекты заданий на бумажных и (или) электронных носителях;</w:t>
      </w:r>
      <w:r w:rsidRPr="00F808A1">
        <w:rPr>
          <w:sz w:val="28"/>
          <w:szCs w:val="28"/>
        </w:rPr>
        <w:br/>
        <w:t>3) фотографировать комплекты заданий;</w:t>
      </w:r>
      <w:r w:rsidRPr="00F808A1">
        <w:rPr>
          <w:sz w:val="28"/>
          <w:szCs w:val="28"/>
        </w:rPr>
        <w:br/>
        <w:t>4) пользоваться справочными материалами, кроме тех, которые выданы в комплекте заданий;</w:t>
      </w:r>
      <w:r w:rsidRPr="00F808A1">
        <w:rPr>
          <w:sz w:val="28"/>
          <w:szCs w:val="28"/>
        </w:rPr>
        <w:br/>
        <w:t>5) перемещаться по месту проведения тестирования без сопровождения дежурного на этаже.</w:t>
      </w:r>
      <w:r w:rsidRPr="00F808A1">
        <w:rPr>
          <w:sz w:val="28"/>
          <w:szCs w:val="28"/>
        </w:rPr>
        <w:br/>
        <w:t>3. Во время проведения тестирования участникам запрещается:</w:t>
      </w:r>
      <w:r w:rsidRPr="00F808A1">
        <w:rPr>
          <w:sz w:val="28"/>
          <w:szCs w:val="28"/>
        </w:rPr>
        <w:br/>
        <w:t>1) разговаривать, пересаживаться, обмениваться любыми материалами и предметами;</w:t>
      </w:r>
      <w:r w:rsidRPr="00F808A1">
        <w:rPr>
          <w:sz w:val="28"/>
          <w:szCs w:val="28"/>
        </w:rPr>
        <w:br/>
        <w:t>2) мешать другим участникам тестирования выполнять задания. Участник тестирования, нарушивший указанные правила, считается не сдавшим тестирование, результаты тестирования такого участника аннулируются. Решение об аннулировании результатов тестирования принимается председателем комиссии по проведению тестирования и вносится в протокол проведения тестирования.</w:t>
      </w:r>
      <w:r w:rsidRPr="00F808A1">
        <w:rPr>
          <w:sz w:val="28"/>
          <w:szCs w:val="28"/>
        </w:rPr>
        <w:br/>
      </w:r>
      <w:r w:rsidRPr="00F808A1">
        <w:rPr>
          <w:sz w:val="28"/>
          <w:szCs w:val="28"/>
        </w:rPr>
        <w:br/>
        <w:t>4. Процедура проведения тестирования в учебных кабинетах полностью фиксируется с помощью средств видеозаписи. Устные ответы участника тестирования фиксируются с помощью средств аудиозаписи. Максимальная продолжительность тестирования, без учёта времени ожидания, составляет 80 минут.</w:t>
      </w:r>
      <w:r w:rsidRPr="00F808A1">
        <w:rPr>
          <w:sz w:val="28"/>
          <w:szCs w:val="28"/>
        </w:rPr>
        <w:br/>
      </w:r>
      <w:r w:rsidRPr="00F808A1">
        <w:rPr>
          <w:sz w:val="28"/>
          <w:szCs w:val="28"/>
        </w:rPr>
        <w:br/>
        <w:t xml:space="preserve">5. Тестирование для участников, планирующих поступление в 1 класс, проводится только индивидуально в устной форме. </w:t>
      </w:r>
      <w:proofErr w:type="gramStart"/>
      <w:r w:rsidRPr="00F808A1">
        <w:rPr>
          <w:sz w:val="28"/>
          <w:szCs w:val="28"/>
        </w:rPr>
        <w:t>При проведении тестирования в устной и письменной форме,</w:t>
      </w:r>
      <w:proofErr w:type="gramEnd"/>
      <w:r w:rsidRPr="00F808A1">
        <w:rPr>
          <w:sz w:val="28"/>
          <w:szCs w:val="28"/>
        </w:rPr>
        <w:t xml:space="preserve"> тестирование в письменной форме проводится в групповом формате перед проведением устного тестирования. Участник, закончивший выполнение тестирования в письменной форме, переходит в другую аудиторию для прохождения устного тестирования в индивидуальном формате.</w:t>
      </w:r>
      <w:r w:rsidRPr="00F808A1">
        <w:rPr>
          <w:sz w:val="28"/>
          <w:szCs w:val="28"/>
        </w:rPr>
        <w:br/>
      </w:r>
      <w:r w:rsidRPr="00F808A1">
        <w:rPr>
          <w:sz w:val="28"/>
          <w:szCs w:val="28"/>
        </w:rPr>
        <w:br/>
        <w:t>6. В случае, если участник тестирования проходит тестирование повторно, ему выдаётся другой вариант диагностических материалов, который не был использован для прохождения предыдущего тестирования.</w:t>
      </w:r>
      <w:r w:rsidRPr="00F808A1">
        <w:rPr>
          <w:sz w:val="28"/>
          <w:szCs w:val="28"/>
        </w:rPr>
        <w:br/>
      </w:r>
      <w:r w:rsidRPr="00F808A1">
        <w:rPr>
          <w:sz w:val="28"/>
          <w:szCs w:val="28"/>
        </w:rPr>
        <w:br/>
        <w:t xml:space="preserve">7. Результаты тестирования объявляются через 3 рабочих дня после проведения </w:t>
      </w:r>
      <w:r w:rsidRPr="00F808A1">
        <w:rPr>
          <w:sz w:val="28"/>
          <w:szCs w:val="28"/>
        </w:rPr>
        <w:lastRenderedPageBreak/>
        <w:t xml:space="preserve">тестирования, результаты будут направлены родителю (законному представителю) в личный кабинет на региональном портале государственных услуг Московской области. Участник тестирования имеет право в течение 1 рабочего дня после объявления результатов тестирования подать апелляцию. С правилами подачи апелляции можно </w:t>
      </w:r>
      <w:proofErr w:type="gramStart"/>
      <w:r w:rsidRPr="00F808A1">
        <w:rPr>
          <w:sz w:val="28"/>
          <w:szCs w:val="28"/>
        </w:rPr>
        <w:t>ознакомится</w:t>
      </w:r>
      <w:proofErr w:type="gramEnd"/>
      <w:r w:rsidRPr="00F808A1">
        <w:rPr>
          <w:sz w:val="28"/>
          <w:szCs w:val="28"/>
        </w:rPr>
        <w:t xml:space="preserve"> в Положении об апелляционной комиссии.</w:t>
      </w:r>
    </w:p>
    <w:p w14:paraId="14F7D84A" w14:textId="01F79431" w:rsidR="00F808A1" w:rsidRPr="00F808A1" w:rsidRDefault="00F808A1" w:rsidP="00F808A1">
      <w:pPr>
        <w:ind w:left="-993"/>
        <w:rPr>
          <w:sz w:val="28"/>
          <w:szCs w:val="28"/>
        </w:rPr>
      </w:pPr>
      <w:r w:rsidRPr="00F808A1">
        <w:rPr>
          <w:sz w:val="28"/>
          <w:szCs w:val="28"/>
        </w:rPr>
        <w:br/>
      </w:r>
      <w:r w:rsidRPr="00F808A1">
        <w:rPr>
          <w:b/>
          <w:bCs/>
          <w:sz w:val="28"/>
          <w:szCs w:val="28"/>
        </w:rPr>
        <w:t>Демоверсия теста</w:t>
      </w:r>
      <w:r w:rsidRPr="00F808A1">
        <w:rPr>
          <w:sz w:val="28"/>
          <w:szCs w:val="28"/>
        </w:rPr>
        <w:br/>
      </w:r>
      <w:r w:rsidRPr="00F808A1">
        <w:rPr>
          <w:sz w:val="28"/>
          <w:szCs w:val="28"/>
        </w:rPr>
        <w:br/>
      </w:r>
      <w:hyperlink r:id="rId5" w:history="1">
        <w:r w:rsidRPr="00F808A1">
          <w:rPr>
            <w:rStyle w:val="ac"/>
            <w:sz w:val="28"/>
            <w:szCs w:val="28"/>
          </w:rPr>
          <w:t>Демоверсия теста (пример)</w:t>
        </w:r>
      </w:hyperlink>
      <w:r w:rsidRPr="00F808A1">
        <w:rPr>
          <w:sz w:val="28"/>
          <w:szCs w:val="28"/>
        </w:rPr>
        <w:t>, на знание русского языка достаточного для освоения образовательных программ начального общего, основного общего и среднего общего образования.</w:t>
      </w:r>
    </w:p>
    <w:p w14:paraId="4100B840" w14:textId="77777777" w:rsidR="00F808A1" w:rsidRPr="00F808A1" w:rsidRDefault="00F808A1" w:rsidP="00F808A1">
      <w:pPr>
        <w:ind w:left="-993"/>
        <w:rPr>
          <w:sz w:val="28"/>
          <w:szCs w:val="28"/>
        </w:rPr>
      </w:pPr>
    </w:p>
    <w:p w14:paraId="56ACE1DF" w14:textId="77777777" w:rsidR="002B0394" w:rsidRPr="00F808A1" w:rsidRDefault="002B0394">
      <w:pPr>
        <w:rPr>
          <w:sz w:val="28"/>
          <w:szCs w:val="28"/>
        </w:rPr>
      </w:pPr>
    </w:p>
    <w:sectPr w:rsidR="002B0394" w:rsidRPr="00F808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2A74A0"/>
    <w:multiLevelType w:val="multilevel"/>
    <w:tmpl w:val="E8602C5E"/>
    <w:lvl w:ilvl="0">
      <w:start w:val="1"/>
      <w:numFmt w:val="decimal"/>
      <w:lvlText w:val="%1."/>
      <w:lvlJc w:val="left"/>
      <w:pPr>
        <w:ind w:left="2487" w:hanging="360"/>
      </w:pPr>
      <w:rPr>
        <w:rFonts w:hint="default"/>
      </w:rPr>
    </w:lvl>
    <w:lvl w:ilvl="1">
      <w:start w:val="1"/>
      <w:numFmt w:val="decimal"/>
      <w:lvlText w:val="%1.%2."/>
      <w:lvlJc w:val="left"/>
      <w:pPr>
        <w:ind w:left="851" w:hanging="79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60ED3E8A"/>
    <w:multiLevelType w:val="multilevel"/>
    <w:tmpl w:val="50EE349E"/>
    <w:styleLink w:val="1"/>
    <w:lvl w:ilvl="0">
      <w:start w:val="1"/>
      <w:numFmt w:val="decimal"/>
      <w:lvlText w:val="%1."/>
      <w:lvlJc w:val="left"/>
      <w:pPr>
        <w:ind w:left="360" w:hanging="360"/>
      </w:pPr>
      <w:rPr>
        <w:rFonts w:hint="default"/>
      </w:rPr>
    </w:lvl>
    <w:lvl w:ilvl="1">
      <w:start w:val="1"/>
      <w:numFmt w:val="decimal"/>
      <w:lvlText w:val="%1.%2."/>
      <w:lvlJc w:val="left"/>
      <w:pPr>
        <w:ind w:left="170" w:hanging="17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825007017">
    <w:abstractNumId w:val="0"/>
  </w:num>
  <w:num w:numId="2" w16cid:durableId="14927961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735"/>
    <w:rsid w:val="0007105F"/>
    <w:rsid w:val="002B0394"/>
    <w:rsid w:val="00616735"/>
    <w:rsid w:val="007C5EBB"/>
    <w:rsid w:val="00DE5BF4"/>
    <w:rsid w:val="00F80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19EEF5"/>
  <w15:chartTrackingRefBased/>
  <w15:docId w15:val="{EDB74324-DB8D-4A0C-A4EB-38471E256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0">
    <w:name w:val="heading 1"/>
    <w:basedOn w:val="a"/>
    <w:next w:val="a"/>
    <w:link w:val="11"/>
    <w:uiPriority w:val="9"/>
    <w:qFormat/>
    <w:rsid w:val="006167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167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1673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4">
    <w:name w:val="heading 4"/>
    <w:basedOn w:val="a"/>
    <w:next w:val="a"/>
    <w:link w:val="40"/>
    <w:uiPriority w:val="9"/>
    <w:semiHidden/>
    <w:unhideWhenUsed/>
    <w:qFormat/>
    <w:rsid w:val="0061673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5">
    <w:name w:val="heading 5"/>
    <w:basedOn w:val="a"/>
    <w:next w:val="a"/>
    <w:link w:val="50"/>
    <w:uiPriority w:val="9"/>
    <w:semiHidden/>
    <w:unhideWhenUsed/>
    <w:qFormat/>
    <w:rsid w:val="00616735"/>
    <w:pPr>
      <w:keepNext/>
      <w:keepLines/>
      <w:spacing w:before="80" w:after="40"/>
      <w:outlineLvl w:val="4"/>
    </w:pPr>
    <w:rPr>
      <w:rFonts w:asciiTheme="minorHAnsi" w:eastAsiaTheme="majorEastAsia" w:hAnsiTheme="minorHAnsi" w:cstheme="majorBidi"/>
      <w:color w:val="0F4761" w:themeColor="accent1" w:themeShade="BF"/>
    </w:rPr>
  </w:style>
  <w:style w:type="paragraph" w:styleId="6">
    <w:name w:val="heading 6"/>
    <w:basedOn w:val="a"/>
    <w:next w:val="a"/>
    <w:link w:val="60"/>
    <w:uiPriority w:val="9"/>
    <w:semiHidden/>
    <w:unhideWhenUsed/>
    <w:qFormat/>
    <w:rsid w:val="00616735"/>
    <w:pPr>
      <w:keepNext/>
      <w:keepLines/>
      <w:spacing w:before="40" w:after="0"/>
      <w:outlineLvl w:val="5"/>
    </w:pPr>
    <w:rPr>
      <w:rFonts w:asciiTheme="minorHAnsi" w:eastAsiaTheme="majorEastAsia" w:hAnsiTheme="minorHAnsi" w:cstheme="majorBidi"/>
      <w:i/>
      <w:iCs/>
      <w:color w:val="595959" w:themeColor="text1" w:themeTint="A6"/>
    </w:rPr>
  </w:style>
  <w:style w:type="paragraph" w:styleId="7">
    <w:name w:val="heading 7"/>
    <w:basedOn w:val="a"/>
    <w:next w:val="a"/>
    <w:link w:val="70"/>
    <w:uiPriority w:val="9"/>
    <w:semiHidden/>
    <w:unhideWhenUsed/>
    <w:qFormat/>
    <w:rsid w:val="00616735"/>
    <w:pPr>
      <w:keepNext/>
      <w:keepLines/>
      <w:spacing w:before="40" w:after="0"/>
      <w:outlineLvl w:val="6"/>
    </w:pPr>
    <w:rPr>
      <w:rFonts w:asciiTheme="minorHAnsi" w:eastAsiaTheme="majorEastAsia" w:hAnsiTheme="minorHAnsi" w:cstheme="majorBidi"/>
      <w:color w:val="595959" w:themeColor="text1" w:themeTint="A6"/>
    </w:rPr>
  </w:style>
  <w:style w:type="paragraph" w:styleId="8">
    <w:name w:val="heading 8"/>
    <w:basedOn w:val="a"/>
    <w:next w:val="a"/>
    <w:link w:val="80"/>
    <w:uiPriority w:val="9"/>
    <w:semiHidden/>
    <w:unhideWhenUsed/>
    <w:qFormat/>
    <w:rsid w:val="00616735"/>
    <w:pPr>
      <w:keepNext/>
      <w:keepLines/>
      <w:spacing w:after="0"/>
      <w:outlineLvl w:val="7"/>
    </w:pPr>
    <w:rPr>
      <w:rFonts w:asciiTheme="minorHAnsi" w:eastAsiaTheme="majorEastAsia" w:hAnsiTheme="minorHAnsi" w:cstheme="majorBidi"/>
      <w:i/>
      <w:iCs/>
      <w:color w:val="272727" w:themeColor="text1" w:themeTint="D8"/>
    </w:rPr>
  </w:style>
  <w:style w:type="paragraph" w:styleId="9">
    <w:name w:val="heading 9"/>
    <w:basedOn w:val="a"/>
    <w:next w:val="a"/>
    <w:link w:val="90"/>
    <w:uiPriority w:val="9"/>
    <w:semiHidden/>
    <w:unhideWhenUsed/>
    <w:qFormat/>
    <w:rsid w:val="00616735"/>
    <w:pPr>
      <w:keepNext/>
      <w:keepLines/>
      <w:spacing w:after="0"/>
      <w:outlineLvl w:val="8"/>
    </w:pPr>
    <w:rPr>
      <w:rFonts w:asciiTheme="minorHAnsi" w:eastAsiaTheme="majorEastAsia" w:hAnsiTheme="minorHAnsi"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Стиль1"/>
    <w:uiPriority w:val="99"/>
    <w:rsid w:val="007C5EBB"/>
    <w:pPr>
      <w:numPr>
        <w:numId w:val="2"/>
      </w:numPr>
    </w:pPr>
  </w:style>
  <w:style w:type="character" w:customStyle="1" w:styleId="11">
    <w:name w:val="Заголовок 1 Знак"/>
    <w:basedOn w:val="a0"/>
    <w:link w:val="10"/>
    <w:uiPriority w:val="9"/>
    <w:rsid w:val="00616735"/>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16735"/>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16735"/>
    <w:rPr>
      <w:rFonts w:asciiTheme="minorHAnsi" w:eastAsiaTheme="majorEastAsia" w:hAnsiTheme="minorHAnsi" w:cstheme="majorBidi"/>
      <w:color w:val="0F4761" w:themeColor="accent1" w:themeShade="BF"/>
      <w:sz w:val="28"/>
      <w:szCs w:val="28"/>
    </w:rPr>
  </w:style>
  <w:style w:type="character" w:customStyle="1" w:styleId="40">
    <w:name w:val="Заголовок 4 Знак"/>
    <w:basedOn w:val="a0"/>
    <w:link w:val="4"/>
    <w:uiPriority w:val="9"/>
    <w:semiHidden/>
    <w:rsid w:val="00616735"/>
    <w:rPr>
      <w:rFonts w:asciiTheme="minorHAnsi" w:eastAsiaTheme="majorEastAsia" w:hAnsiTheme="minorHAnsi" w:cstheme="majorBidi"/>
      <w:i/>
      <w:iCs/>
      <w:color w:val="0F4761" w:themeColor="accent1" w:themeShade="BF"/>
    </w:rPr>
  </w:style>
  <w:style w:type="character" w:customStyle="1" w:styleId="50">
    <w:name w:val="Заголовок 5 Знак"/>
    <w:basedOn w:val="a0"/>
    <w:link w:val="5"/>
    <w:uiPriority w:val="9"/>
    <w:semiHidden/>
    <w:rsid w:val="00616735"/>
    <w:rPr>
      <w:rFonts w:asciiTheme="minorHAnsi" w:eastAsiaTheme="majorEastAsia" w:hAnsiTheme="minorHAnsi" w:cstheme="majorBidi"/>
      <w:color w:val="0F4761" w:themeColor="accent1" w:themeShade="BF"/>
    </w:rPr>
  </w:style>
  <w:style w:type="character" w:customStyle="1" w:styleId="60">
    <w:name w:val="Заголовок 6 Знак"/>
    <w:basedOn w:val="a0"/>
    <w:link w:val="6"/>
    <w:uiPriority w:val="9"/>
    <w:semiHidden/>
    <w:rsid w:val="00616735"/>
    <w:rPr>
      <w:rFonts w:asciiTheme="minorHAnsi" w:eastAsiaTheme="majorEastAsia" w:hAnsiTheme="minorHAnsi" w:cstheme="majorBidi"/>
      <w:i/>
      <w:iCs/>
      <w:color w:val="595959" w:themeColor="text1" w:themeTint="A6"/>
    </w:rPr>
  </w:style>
  <w:style w:type="character" w:customStyle="1" w:styleId="70">
    <w:name w:val="Заголовок 7 Знак"/>
    <w:basedOn w:val="a0"/>
    <w:link w:val="7"/>
    <w:uiPriority w:val="9"/>
    <w:semiHidden/>
    <w:rsid w:val="00616735"/>
    <w:rPr>
      <w:rFonts w:asciiTheme="minorHAnsi" w:eastAsiaTheme="majorEastAsia" w:hAnsiTheme="minorHAnsi" w:cstheme="majorBidi"/>
      <w:color w:val="595959" w:themeColor="text1" w:themeTint="A6"/>
    </w:rPr>
  </w:style>
  <w:style w:type="character" w:customStyle="1" w:styleId="80">
    <w:name w:val="Заголовок 8 Знак"/>
    <w:basedOn w:val="a0"/>
    <w:link w:val="8"/>
    <w:uiPriority w:val="9"/>
    <w:semiHidden/>
    <w:rsid w:val="00616735"/>
    <w:rPr>
      <w:rFonts w:asciiTheme="minorHAnsi" w:eastAsiaTheme="majorEastAsia" w:hAnsiTheme="minorHAnsi" w:cstheme="majorBidi"/>
      <w:i/>
      <w:iCs/>
      <w:color w:val="272727" w:themeColor="text1" w:themeTint="D8"/>
    </w:rPr>
  </w:style>
  <w:style w:type="character" w:customStyle="1" w:styleId="90">
    <w:name w:val="Заголовок 9 Знак"/>
    <w:basedOn w:val="a0"/>
    <w:link w:val="9"/>
    <w:uiPriority w:val="9"/>
    <w:semiHidden/>
    <w:rsid w:val="00616735"/>
    <w:rPr>
      <w:rFonts w:asciiTheme="minorHAnsi" w:eastAsiaTheme="majorEastAsia" w:hAnsiTheme="minorHAnsi" w:cstheme="majorBidi"/>
      <w:color w:val="272727" w:themeColor="text1" w:themeTint="D8"/>
    </w:rPr>
  </w:style>
  <w:style w:type="paragraph" w:styleId="a3">
    <w:name w:val="Title"/>
    <w:basedOn w:val="a"/>
    <w:next w:val="a"/>
    <w:link w:val="a4"/>
    <w:uiPriority w:val="10"/>
    <w:qFormat/>
    <w:rsid w:val="006167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1673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6735"/>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a6">
    <w:name w:val="Подзаголовок Знак"/>
    <w:basedOn w:val="a0"/>
    <w:link w:val="a5"/>
    <w:uiPriority w:val="11"/>
    <w:rsid w:val="00616735"/>
    <w:rPr>
      <w:rFonts w:asciiTheme="minorHAnsi" w:eastAsiaTheme="majorEastAsia" w:hAnsiTheme="minorHAnsi" w:cstheme="majorBidi"/>
      <w:color w:val="595959" w:themeColor="text1" w:themeTint="A6"/>
      <w:spacing w:val="15"/>
      <w:sz w:val="28"/>
      <w:szCs w:val="28"/>
    </w:rPr>
  </w:style>
  <w:style w:type="paragraph" w:styleId="21">
    <w:name w:val="Quote"/>
    <w:basedOn w:val="a"/>
    <w:next w:val="a"/>
    <w:link w:val="22"/>
    <w:uiPriority w:val="29"/>
    <w:qFormat/>
    <w:rsid w:val="00616735"/>
    <w:pPr>
      <w:spacing w:before="160"/>
      <w:jc w:val="center"/>
    </w:pPr>
    <w:rPr>
      <w:i/>
      <w:iCs/>
      <w:color w:val="404040" w:themeColor="text1" w:themeTint="BF"/>
    </w:rPr>
  </w:style>
  <w:style w:type="character" w:customStyle="1" w:styleId="22">
    <w:name w:val="Цитата 2 Знак"/>
    <w:basedOn w:val="a0"/>
    <w:link w:val="21"/>
    <w:uiPriority w:val="29"/>
    <w:rsid w:val="00616735"/>
    <w:rPr>
      <w:i/>
      <w:iCs/>
      <w:color w:val="404040" w:themeColor="text1" w:themeTint="BF"/>
    </w:rPr>
  </w:style>
  <w:style w:type="paragraph" w:styleId="a7">
    <w:name w:val="List Paragraph"/>
    <w:basedOn w:val="a"/>
    <w:uiPriority w:val="34"/>
    <w:qFormat/>
    <w:rsid w:val="00616735"/>
    <w:pPr>
      <w:ind w:left="720"/>
      <w:contextualSpacing/>
    </w:pPr>
  </w:style>
  <w:style w:type="character" w:styleId="a8">
    <w:name w:val="Intense Emphasis"/>
    <w:basedOn w:val="a0"/>
    <w:uiPriority w:val="21"/>
    <w:qFormat/>
    <w:rsid w:val="00616735"/>
    <w:rPr>
      <w:i/>
      <w:iCs/>
      <w:color w:val="0F4761" w:themeColor="accent1" w:themeShade="BF"/>
    </w:rPr>
  </w:style>
  <w:style w:type="paragraph" w:styleId="a9">
    <w:name w:val="Intense Quote"/>
    <w:basedOn w:val="a"/>
    <w:next w:val="a"/>
    <w:link w:val="aa"/>
    <w:uiPriority w:val="30"/>
    <w:qFormat/>
    <w:rsid w:val="006167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16735"/>
    <w:rPr>
      <w:i/>
      <w:iCs/>
      <w:color w:val="0F4761" w:themeColor="accent1" w:themeShade="BF"/>
    </w:rPr>
  </w:style>
  <w:style w:type="character" w:styleId="ab">
    <w:name w:val="Intense Reference"/>
    <w:basedOn w:val="a0"/>
    <w:uiPriority w:val="32"/>
    <w:qFormat/>
    <w:rsid w:val="00616735"/>
    <w:rPr>
      <w:b/>
      <w:bCs/>
      <w:smallCaps/>
      <w:color w:val="0F4761" w:themeColor="accent1" w:themeShade="BF"/>
      <w:spacing w:val="5"/>
    </w:rPr>
  </w:style>
  <w:style w:type="character" w:styleId="ac">
    <w:name w:val="Hyperlink"/>
    <w:basedOn w:val="a0"/>
    <w:uiPriority w:val="99"/>
    <w:unhideWhenUsed/>
    <w:rsid w:val="00F808A1"/>
    <w:rPr>
      <w:color w:val="467886" w:themeColor="hyperlink"/>
      <w:u w:val="single"/>
    </w:rPr>
  </w:style>
  <w:style w:type="character" w:styleId="ad">
    <w:name w:val="Unresolved Mention"/>
    <w:basedOn w:val="a0"/>
    <w:uiPriority w:val="99"/>
    <w:semiHidden/>
    <w:unhideWhenUsed/>
    <w:rsid w:val="00F808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295432">
      <w:bodyDiv w:val="1"/>
      <w:marLeft w:val="0"/>
      <w:marRight w:val="0"/>
      <w:marTop w:val="0"/>
      <w:marBottom w:val="0"/>
      <w:divBdr>
        <w:top w:val="none" w:sz="0" w:space="0" w:color="auto"/>
        <w:left w:val="none" w:sz="0" w:space="0" w:color="auto"/>
        <w:bottom w:val="none" w:sz="0" w:space="0" w:color="auto"/>
        <w:right w:val="none" w:sz="0" w:space="0" w:color="auto"/>
      </w:divBdr>
      <w:divsChild>
        <w:div w:id="1081171551">
          <w:marLeft w:val="0"/>
          <w:marRight w:val="0"/>
          <w:marTop w:val="0"/>
          <w:marBottom w:val="660"/>
          <w:divBdr>
            <w:top w:val="none" w:sz="0" w:space="0" w:color="auto"/>
            <w:left w:val="none" w:sz="0" w:space="0" w:color="auto"/>
            <w:bottom w:val="none" w:sz="0" w:space="0" w:color="auto"/>
            <w:right w:val="none" w:sz="0" w:space="0" w:color="auto"/>
          </w:divBdr>
          <w:divsChild>
            <w:div w:id="1124931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969959">
      <w:bodyDiv w:val="1"/>
      <w:marLeft w:val="0"/>
      <w:marRight w:val="0"/>
      <w:marTop w:val="0"/>
      <w:marBottom w:val="0"/>
      <w:divBdr>
        <w:top w:val="none" w:sz="0" w:space="0" w:color="auto"/>
        <w:left w:val="none" w:sz="0" w:space="0" w:color="auto"/>
        <w:bottom w:val="none" w:sz="0" w:space="0" w:color="auto"/>
        <w:right w:val="none" w:sz="0" w:space="0" w:color="auto"/>
      </w:divBdr>
    </w:div>
    <w:div w:id="1538541253">
      <w:bodyDiv w:val="1"/>
      <w:marLeft w:val="0"/>
      <w:marRight w:val="0"/>
      <w:marTop w:val="0"/>
      <w:marBottom w:val="0"/>
      <w:divBdr>
        <w:top w:val="none" w:sz="0" w:space="0" w:color="auto"/>
        <w:left w:val="none" w:sz="0" w:space="0" w:color="auto"/>
        <w:bottom w:val="none" w:sz="0" w:space="0" w:color="auto"/>
        <w:right w:val="none" w:sz="0" w:space="0" w:color="auto"/>
      </w:divBdr>
    </w:div>
    <w:div w:id="2001613091">
      <w:bodyDiv w:val="1"/>
      <w:marLeft w:val="0"/>
      <w:marRight w:val="0"/>
      <w:marTop w:val="0"/>
      <w:marBottom w:val="0"/>
      <w:divBdr>
        <w:top w:val="none" w:sz="0" w:space="0" w:color="auto"/>
        <w:left w:val="none" w:sz="0" w:space="0" w:color="auto"/>
        <w:bottom w:val="none" w:sz="0" w:space="0" w:color="auto"/>
        <w:right w:val="none" w:sz="0" w:space="0" w:color="auto"/>
      </w:divBdr>
      <w:divsChild>
        <w:div w:id="1724787655">
          <w:marLeft w:val="0"/>
          <w:marRight w:val="0"/>
          <w:marTop w:val="0"/>
          <w:marBottom w:val="660"/>
          <w:divBdr>
            <w:top w:val="none" w:sz="0" w:space="0" w:color="auto"/>
            <w:left w:val="none" w:sz="0" w:space="0" w:color="auto"/>
            <w:bottom w:val="none" w:sz="0" w:space="0" w:color="auto"/>
            <w:right w:val="none" w:sz="0" w:space="0" w:color="auto"/>
          </w:divBdr>
          <w:divsChild>
            <w:div w:id="66409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fipi.ru/inostr-exam/inostr-exam-deti"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747</Words>
  <Characters>4258</Characters>
  <Application>Microsoft Office Word</Application>
  <DocSecurity>0</DocSecurity>
  <Lines>35</Lines>
  <Paragraphs>9</Paragraphs>
  <ScaleCrop>false</ScaleCrop>
  <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Лаврова Елена Викторовна</dc:creator>
  <cp:keywords/>
  <dc:description/>
  <cp:lastModifiedBy>Лаврова Елена Викторовна</cp:lastModifiedBy>
  <cp:revision>2</cp:revision>
  <dcterms:created xsi:type="dcterms:W3CDTF">2025-05-19T12:11:00Z</dcterms:created>
  <dcterms:modified xsi:type="dcterms:W3CDTF">2025-05-19T12:14:00Z</dcterms:modified>
</cp:coreProperties>
</file>